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005B3" w14:textId="2D0C5BBD" w:rsidR="002C1D3D" w:rsidRPr="00766559" w:rsidRDefault="00766559" w:rsidP="00766559">
      <w:pPr>
        <w:spacing w:after="120" w:line="240" w:lineRule="auto"/>
        <w:ind w:right="-709"/>
        <w:jc w:val="center"/>
        <w:rPr>
          <w:rFonts w:ascii="Alkaios" w:hAnsi="Alkaios"/>
          <w:b/>
          <w:bCs/>
          <w:sz w:val="22"/>
          <w:szCs w:val="22"/>
        </w:rPr>
      </w:pPr>
      <w:r w:rsidRPr="00766559">
        <w:rPr>
          <w:rFonts w:ascii="Alkaios" w:hAnsi="Alkaios"/>
          <w:b/>
          <w:bCs/>
          <w:sz w:val="22"/>
          <w:szCs w:val="22"/>
        </w:rPr>
        <w:t>Zum 13. Protokoll (vom 02.06.2026)</w:t>
      </w:r>
      <w:r w:rsidR="00AE1314">
        <w:rPr>
          <w:rFonts w:ascii="Alkaios" w:hAnsi="Alkaios"/>
          <w:b/>
          <w:bCs/>
          <w:sz w:val="22"/>
          <w:szCs w:val="22"/>
        </w:rPr>
        <w:br/>
        <w:t>Was immer Ihr davon schafft, schickt es mir bitte per E-Mail zu.</w:t>
      </w:r>
    </w:p>
    <w:p w14:paraId="4EBDAF65" w14:textId="14E008E1" w:rsidR="002C1D3D" w:rsidRPr="002C1D3D" w:rsidRDefault="002C1D3D" w:rsidP="00D57A34">
      <w:pPr>
        <w:pStyle w:val="Listenabsatz"/>
        <w:numPr>
          <w:ilvl w:val="0"/>
          <w:numId w:val="6"/>
        </w:numPr>
        <w:spacing w:after="120" w:line="254" w:lineRule="auto"/>
        <w:ind w:right="-709"/>
        <w:contextualSpacing w:val="0"/>
        <w:jc w:val="both"/>
        <w:rPr>
          <w:rFonts w:ascii="Alkaios" w:hAnsi="Alkaios"/>
          <w:sz w:val="22"/>
          <w:szCs w:val="22"/>
        </w:rPr>
      </w:pPr>
      <w:r w:rsidRPr="002C1D3D">
        <w:rPr>
          <w:rFonts w:ascii="Alkaios" w:hAnsi="Alkaios"/>
          <w:sz w:val="22"/>
          <w:szCs w:val="22"/>
        </w:rPr>
        <w:t xml:space="preserve">Die Sätze 5 bis 10 aus T3 (hier </w:t>
      </w:r>
      <w:r>
        <w:rPr>
          <w:rFonts w:ascii="Alkaios" w:hAnsi="Alkaios"/>
          <w:sz w:val="22"/>
          <w:szCs w:val="22"/>
        </w:rPr>
        <w:t xml:space="preserve">a-f) </w:t>
      </w:r>
      <w:r w:rsidRPr="002C1D3D">
        <w:rPr>
          <w:rFonts w:ascii="Alkaios" w:hAnsi="Alkaios"/>
          <w:sz w:val="22"/>
          <w:szCs w:val="22"/>
        </w:rPr>
        <w:t>interlinear übersetzen.</w:t>
      </w:r>
    </w:p>
    <w:p w14:paraId="0F67FBAE" w14:textId="1B7E1378" w:rsidR="002C1D3D" w:rsidRPr="002C1D3D" w:rsidRDefault="002C1D3D" w:rsidP="00D57A34">
      <w:pPr>
        <w:pStyle w:val="Listenabsatz"/>
        <w:numPr>
          <w:ilvl w:val="1"/>
          <w:numId w:val="6"/>
        </w:numPr>
        <w:spacing w:after="120" w:line="254" w:lineRule="auto"/>
        <w:ind w:right="-709"/>
        <w:contextualSpacing w:val="0"/>
        <w:rPr>
          <w:rFonts w:ascii="Alkaios" w:hAnsi="Alkaios"/>
          <w:sz w:val="22"/>
          <w:szCs w:val="22"/>
        </w:rPr>
      </w:pPr>
      <w:r w:rsidRPr="002C1D3D">
        <w:rPr>
          <w:rFonts w:ascii="Alkaios" w:hAnsi="Alkaios"/>
          <w:sz w:val="22"/>
          <w:szCs w:val="22"/>
        </w:rPr>
        <w:t xml:space="preserve">[7.33] </w:t>
      </w:r>
      <w:r w:rsidRPr="002C1D3D">
        <w:rPr>
          <w:rFonts w:ascii="Alkaios" w:hAnsi="Alkaios"/>
          <w:sz w:val="22"/>
          <w:szCs w:val="22"/>
          <w:lang w:val="el-GR"/>
        </w:rPr>
        <w:t>Πηνελόπη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/>
          <w:sz w:val="22"/>
          <w:szCs w:val="22"/>
          <w:lang w:val="el-GR"/>
        </w:rPr>
        <w:t>δ</w:t>
      </w:r>
      <w:r w:rsidRPr="002C1D3D">
        <w:rPr>
          <w:rFonts w:ascii="Alkaios" w:hAnsi="Alkaios" w:cs="Arial"/>
          <w:sz w:val="22"/>
          <w:szCs w:val="22"/>
          <w:lang w:val="el-GR"/>
        </w:rPr>
        <w:t>ὲ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ἀ</w:t>
      </w:r>
      <w:r w:rsidRPr="002C1D3D">
        <w:rPr>
          <w:rFonts w:ascii="Alkaios" w:hAnsi="Alkaios"/>
          <w:sz w:val="22"/>
          <w:szCs w:val="22"/>
          <w:lang w:val="el-GR"/>
        </w:rPr>
        <w:t>ναγκαζομένη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/>
          <w:sz w:val="22"/>
          <w:szCs w:val="22"/>
          <w:lang w:val="el-GR"/>
        </w:rPr>
        <w:t>τ</w:t>
      </w:r>
      <w:r w:rsidRPr="002C1D3D">
        <w:rPr>
          <w:rFonts w:ascii="Alkaios" w:hAnsi="Alkaios" w:cs="Arial"/>
          <w:sz w:val="22"/>
          <w:szCs w:val="22"/>
          <w:lang w:val="el-GR"/>
        </w:rPr>
        <w:t>ὸ</w:t>
      </w:r>
      <w:r w:rsidRPr="002C1D3D">
        <w:rPr>
          <w:rFonts w:ascii="Alkaios" w:hAnsi="Alkaios"/>
          <w:sz w:val="22"/>
          <w:szCs w:val="22"/>
          <w:lang w:val="el-GR"/>
        </w:rPr>
        <w:t>ν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/>
          <w:sz w:val="22"/>
          <w:szCs w:val="22"/>
          <w:lang w:val="el-GR"/>
        </w:rPr>
        <w:t>γάμον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ὑ</w:t>
      </w:r>
      <w:r w:rsidRPr="002C1D3D">
        <w:rPr>
          <w:rFonts w:ascii="Alkaios" w:hAnsi="Alkaios"/>
          <w:sz w:val="22"/>
          <w:szCs w:val="22"/>
          <w:lang w:val="el-GR"/>
        </w:rPr>
        <w:t>ποδέχεται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/>
          <w:sz w:val="22"/>
          <w:szCs w:val="22"/>
        </w:rPr>
        <w:br/>
      </w:r>
      <w:r w:rsidRPr="002C1D3D">
        <w:rPr>
          <w:rFonts w:ascii="Alkaios" w:hAnsi="Alkaios" w:cs="Arial"/>
          <w:sz w:val="22"/>
          <w:szCs w:val="22"/>
          <w:lang w:val="el-GR"/>
        </w:rPr>
        <w:t>ὅ</w:t>
      </w:r>
      <w:r w:rsidRPr="002C1D3D">
        <w:rPr>
          <w:rFonts w:ascii="Alkaios" w:hAnsi="Alkaios"/>
          <w:sz w:val="22"/>
          <w:szCs w:val="22"/>
          <w:lang w:val="el-GR"/>
        </w:rPr>
        <w:t>τε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/>
          <w:sz w:val="22"/>
          <w:szCs w:val="22"/>
          <w:lang w:val="el-GR"/>
        </w:rPr>
        <w:t>τ</w:t>
      </w:r>
      <w:r w:rsidRPr="002C1D3D">
        <w:rPr>
          <w:rFonts w:ascii="Alkaios" w:hAnsi="Alkaios" w:cs="Arial"/>
          <w:sz w:val="22"/>
          <w:szCs w:val="22"/>
          <w:lang w:val="el-GR"/>
        </w:rPr>
        <w:t>ὸ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/>
          <w:sz w:val="22"/>
          <w:szCs w:val="22"/>
          <w:lang w:val="el-GR"/>
        </w:rPr>
        <w:t>ἐντάφιον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/>
          <w:sz w:val="22"/>
          <w:szCs w:val="22"/>
          <w:lang w:val="el-GR"/>
        </w:rPr>
        <w:t>Λαέρτ</w:t>
      </w:r>
      <w:r w:rsidRPr="002C1D3D">
        <w:rPr>
          <w:rFonts w:ascii="Alkaios" w:hAnsi="Alkaios" w:cs="Arial"/>
          <w:sz w:val="22"/>
          <w:szCs w:val="22"/>
          <w:lang w:val="el-GR"/>
        </w:rPr>
        <w:t>ῃ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/>
          <w:sz w:val="22"/>
          <w:szCs w:val="22"/>
          <w:lang w:val="el-GR"/>
        </w:rPr>
        <w:t>πέρας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ἀπεργάσεται</w:t>
      </w:r>
      <w:r>
        <w:rPr>
          <w:rStyle w:val="Funotenzeichen"/>
          <w:rFonts w:ascii="Alkaios" w:hAnsi="Alkaios" w:cs="Arial"/>
          <w:sz w:val="22"/>
          <w:szCs w:val="22"/>
          <w:lang w:val="el-GR"/>
        </w:rPr>
        <w:footnoteReference w:id="1"/>
      </w:r>
      <w:r w:rsidRPr="002C1D3D">
        <w:rPr>
          <w:rFonts w:ascii="Alkaios" w:hAnsi="Alkaios"/>
          <w:sz w:val="22"/>
          <w:szCs w:val="22"/>
        </w:rPr>
        <w:t xml:space="preserve">, </w:t>
      </w:r>
    </w:p>
    <w:p w14:paraId="232EEA3A" w14:textId="77777777" w:rsidR="002C1D3D" w:rsidRPr="002C1D3D" w:rsidRDefault="002C1D3D" w:rsidP="00D57A34">
      <w:pPr>
        <w:pStyle w:val="Listenabsatz"/>
        <w:numPr>
          <w:ilvl w:val="1"/>
          <w:numId w:val="6"/>
        </w:numPr>
        <w:spacing w:after="120" w:line="254" w:lineRule="auto"/>
        <w:ind w:right="-709"/>
        <w:contextualSpacing w:val="0"/>
        <w:rPr>
          <w:rFonts w:ascii="Alkaios" w:hAnsi="Alkaios" w:cs="Arial"/>
          <w:sz w:val="22"/>
          <w:szCs w:val="22"/>
        </w:rPr>
      </w:pPr>
      <w:r w:rsidRPr="002C1D3D">
        <w:rPr>
          <w:rFonts w:ascii="Alkaios" w:hAnsi="Alkaios" w:cs="Arial"/>
          <w:sz w:val="22"/>
          <w:szCs w:val="22"/>
          <w:lang w:val="el-GR"/>
        </w:rPr>
        <w:t>καὶ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τοῦτο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ὑφαίνει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ἐπὶ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ἔτη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τρία</w:t>
      </w:r>
      <w:r w:rsidRPr="002C1D3D">
        <w:rPr>
          <w:rFonts w:ascii="Alkaios" w:hAnsi="Alkaios" w:cs="Arial"/>
          <w:sz w:val="22"/>
          <w:szCs w:val="22"/>
        </w:rPr>
        <w:t xml:space="preserve">, </w:t>
      </w:r>
      <w:r w:rsidRPr="002C1D3D">
        <w:rPr>
          <w:rFonts w:ascii="Alkaios" w:hAnsi="Alkaios" w:cs="Arial"/>
          <w:sz w:val="22"/>
          <w:szCs w:val="22"/>
        </w:rPr>
        <w:br/>
      </w:r>
      <w:r w:rsidRPr="002C1D3D">
        <w:rPr>
          <w:rFonts w:ascii="Alkaios" w:hAnsi="Alkaios" w:cs="Arial"/>
          <w:sz w:val="22"/>
          <w:szCs w:val="22"/>
          <w:lang w:val="el-GR"/>
        </w:rPr>
        <w:t>μεθ</w:t>
      </w:r>
      <w:r w:rsidRPr="002C1D3D">
        <w:rPr>
          <w:rFonts w:ascii="Times New Roman" w:hAnsi="Times New Roman" w:cs="Times New Roman"/>
          <w:sz w:val="22"/>
          <w:szCs w:val="22"/>
        </w:rPr>
        <w:t>ʼ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ἡμέραν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μὲν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ὑφαίνουσα</w:t>
      </w:r>
      <w:r w:rsidRPr="002C1D3D">
        <w:rPr>
          <w:rFonts w:ascii="Alkaios" w:hAnsi="Alkaios" w:cs="Arial"/>
          <w:sz w:val="22"/>
          <w:szCs w:val="22"/>
        </w:rPr>
        <w:t xml:space="preserve">, </w:t>
      </w:r>
      <w:r w:rsidRPr="002C1D3D">
        <w:rPr>
          <w:rFonts w:ascii="Alkaios" w:hAnsi="Alkaios" w:cs="Arial"/>
          <w:sz w:val="22"/>
          <w:szCs w:val="22"/>
          <w:lang w:val="el-GR"/>
        </w:rPr>
        <w:t>νύκτωρ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δὲ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ἀναλύουσα</w:t>
      </w:r>
      <w:r w:rsidRPr="002C1D3D">
        <w:rPr>
          <w:rFonts w:ascii="Alkaios" w:hAnsi="Alkaios" w:cs="Arial"/>
          <w:sz w:val="22"/>
          <w:szCs w:val="22"/>
        </w:rPr>
        <w:t xml:space="preserve">. </w:t>
      </w:r>
    </w:p>
    <w:p w14:paraId="59DC6665" w14:textId="77777777" w:rsidR="002C1D3D" w:rsidRPr="002C1D3D" w:rsidRDefault="002C1D3D" w:rsidP="00D57A34">
      <w:pPr>
        <w:pStyle w:val="Listenabsatz"/>
        <w:numPr>
          <w:ilvl w:val="1"/>
          <w:numId w:val="6"/>
        </w:numPr>
        <w:spacing w:after="120" w:line="254" w:lineRule="auto"/>
        <w:ind w:right="-709"/>
        <w:contextualSpacing w:val="0"/>
        <w:rPr>
          <w:rFonts w:ascii="Alkaios" w:hAnsi="Alkaios" w:cs="Arial"/>
          <w:sz w:val="22"/>
          <w:szCs w:val="22"/>
        </w:rPr>
      </w:pPr>
      <w:r w:rsidRPr="002C1D3D">
        <w:rPr>
          <w:rFonts w:ascii="Alkaios" w:hAnsi="Alkaios" w:cs="Arial"/>
          <w:sz w:val="22"/>
          <w:szCs w:val="22"/>
          <w:lang w:val="el-GR"/>
        </w:rPr>
        <w:t>τοῦτον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τὸν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τρόπον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ψεύδονται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οἱ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μνηστῆρες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ὑπὸ</w:t>
      </w:r>
      <w:r>
        <w:rPr>
          <w:rStyle w:val="Funotenzeichen"/>
          <w:rFonts w:ascii="Alkaios" w:hAnsi="Alkaios" w:cs="Arial"/>
          <w:sz w:val="22"/>
          <w:szCs w:val="22"/>
          <w:lang w:val="el-GR"/>
        </w:rPr>
        <w:footnoteReference w:id="2"/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τῆς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Πηνελόπης</w:t>
      </w:r>
      <w:r w:rsidRPr="002C1D3D">
        <w:rPr>
          <w:rFonts w:ascii="Alkaios" w:hAnsi="Alkaios" w:cs="Arial"/>
          <w:sz w:val="22"/>
          <w:szCs w:val="22"/>
        </w:rPr>
        <w:t xml:space="preserve">, </w:t>
      </w:r>
      <w:r w:rsidRPr="002C1D3D">
        <w:rPr>
          <w:rFonts w:ascii="Alkaios" w:hAnsi="Alkaios" w:cs="Arial"/>
          <w:sz w:val="22"/>
          <w:szCs w:val="22"/>
        </w:rPr>
        <w:br/>
      </w:r>
      <w:r w:rsidRPr="002C1D3D">
        <w:rPr>
          <w:rFonts w:ascii="Alkaios" w:hAnsi="Alkaios" w:cs="Arial"/>
          <w:sz w:val="22"/>
          <w:szCs w:val="22"/>
          <w:lang w:val="el-GR"/>
        </w:rPr>
        <w:t>μέχρις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ὅτε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τὴν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ἀπάτην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ἐξευρίσκουσιν</w:t>
      </w:r>
      <w:r w:rsidRPr="002C1D3D">
        <w:rPr>
          <w:rFonts w:ascii="Alkaios" w:hAnsi="Alkaios" w:cs="Arial"/>
          <w:sz w:val="22"/>
          <w:szCs w:val="22"/>
        </w:rPr>
        <w:t>.</w:t>
      </w:r>
    </w:p>
    <w:p w14:paraId="77511AC9" w14:textId="77777777" w:rsidR="002C1D3D" w:rsidRPr="002C1D3D" w:rsidRDefault="002C1D3D" w:rsidP="00D57A34">
      <w:pPr>
        <w:pStyle w:val="Listenabsatz"/>
        <w:numPr>
          <w:ilvl w:val="1"/>
          <w:numId w:val="6"/>
        </w:numPr>
        <w:spacing w:after="120" w:line="254" w:lineRule="auto"/>
        <w:ind w:right="-709"/>
        <w:contextualSpacing w:val="0"/>
        <w:rPr>
          <w:rFonts w:ascii="Alkaios" w:hAnsi="Alkaios"/>
          <w:sz w:val="22"/>
          <w:szCs w:val="22"/>
        </w:rPr>
      </w:pPr>
      <w:r w:rsidRPr="002C1D3D">
        <w:rPr>
          <w:rFonts w:ascii="Alkaios" w:hAnsi="Alkaios" w:cs="Arial"/>
          <w:sz w:val="22"/>
          <w:szCs w:val="22"/>
          <w:lang w:val="el-GR"/>
        </w:rPr>
        <w:t>Ὀδυσσεὺς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δὲ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μανθάνει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τὰ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κατὰ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τὴν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οἰκίαν</w:t>
      </w:r>
      <w:r w:rsidRPr="002C1D3D">
        <w:rPr>
          <w:rFonts w:ascii="Alkaios" w:hAnsi="Alkaios" w:cs="Arial"/>
          <w:sz w:val="22"/>
          <w:szCs w:val="22"/>
        </w:rPr>
        <w:t xml:space="preserve">, </w:t>
      </w:r>
      <w:r w:rsidRPr="002C1D3D">
        <w:rPr>
          <w:rFonts w:ascii="Alkaios" w:hAnsi="Alkaios" w:cs="Arial"/>
          <w:sz w:val="22"/>
          <w:szCs w:val="22"/>
        </w:rPr>
        <w:br/>
      </w:r>
      <w:r w:rsidRPr="002C1D3D">
        <w:rPr>
          <w:rFonts w:ascii="Alkaios" w:hAnsi="Alkaios" w:cs="Arial"/>
          <w:sz w:val="22"/>
          <w:szCs w:val="22"/>
          <w:lang w:val="el-GR"/>
        </w:rPr>
        <w:t>ὡς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ἐπαίτης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πρὸς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Εὔμαιον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οἰκέτην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ἀφικνεῖται</w:t>
      </w:r>
      <w:r w:rsidRPr="002C1D3D">
        <w:rPr>
          <w:rFonts w:ascii="Alkaios" w:hAnsi="Alkaios" w:cs="Arial"/>
          <w:sz w:val="22"/>
          <w:szCs w:val="22"/>
        </w:rPr>
        <w:t xml:space="preserve">, </w:t>
      </w:r>
      <w:r w:rsidRPr="002C1D3D">
        <w:rPr>
          <w:rFonts w:ascii="Alkaios" w:hAnsi="Alkaios" w:cs="Arial"/>
          <w:sz w:val="22"/>
          <w:szCs w:val="22"/>
        </w:rPr>
        <w:br/>
      </w:r>
      <w:r w:rsidRPr="002C1D3D">
        <w:rPr>
          <w:rFonts w:ascii="Alkaios" w:hAnsi="Alkaios"/>
          <w:sz w:val="22"/>
          <w:szCs w:val="22"/>
          <w:lang w:val="el-GR"/>
        </w:rPr>
        <w:t>κα</w:t>
      </w:r>
      <w:r w:rsidRPr="002C1D3D">
        <w:rPr>
          <w:rFonts w:ascii="Alkaios" w:hAnsi="Alkaios" w:cs="Arial"/>
          <w:sz w:val="22"/>
          <w:szCs w:val="22"/>
          <w:lang w:val="el-GR"/>
        </w:rPr>
        <w:t>ὶ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/>
          <w:sz w:val="22"/>
          <w:szCs w:val="22"/>
          <w:lang w:val="el-GR"/>
        </w:rPr>
        <w:t>Τηλεμάχ</w:t>
      </w:r>
      <w:r w:rsidRPr="002C1D3D">
        <w:rPr>
          <w:rFonts w:ascii="Alkaios" w:hAnsi="Alkaios" w:cs="Arial"/>
          <w:sz w:val="22"/>
          <w:szCs w:val="22"/>
          <w:lang w:val="el-GR"/>
        </w:rPr>
        <w:t>ῳ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ἀ</w:t>
      </w:r>
      <w:r w:rsidRPr="002C1D3D">
        <w:rPr>
          <w:rFonts w:ascii="Alkaios" w:hAnsi="Alkaios"/>
          <w:sz w:val="22"/>
          <w:szCs w:val="22"/>
          <w:lang w:val="el-GR"/>
        </w:rPr>
        <w:t>ναγνωρίζεται</w:t>
      </w:r>
      <w:r w:rsidRPr="002C1D3D">
        <w:rPr>
          <w:rFonts w:ascii="Alkaios" w:hAnsi="Alkaios"/>
          <w:sz w:val="22"/>
          <w:szCs w:val="22"/>
        </w:rPr>
        <w:t xml:space="preserve">, </w:t>
      </w:r>
      <w:r w:rsidRPr="002C1D3D">
        <w:rPr>
          <w:rFonts w:ascii="Alkaios" w:hAnsi="Alkaios"/>
          <w:sz w:val="22"/>
          <w:szCs w:val="22"/>
          <w:lang w:val="el-GR"/>
        </w:rPr>
        <w:t>κα</w:t>
      </w:r>
      <w:r w:rsidRPr="002C1D3D">
        <w:rPr>
          <w:rFonts w:ascii="Alkaios" w:hAnsi="Alkaios" w:cs="Arial"/>
          <w:sz w:val="22"/>
          <w:szCs w:val="22"/>
          <w:lang w:val="el-GR"/>
        </w:rPr>
        <w:t>ὶ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παραγίγνεται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/>
          <w:sz w:val="22"/>
          <w:szCs w:val="22"/>
          <w:lang w:val="el-GR"/>
        </w:rPr>
        <w:t>ε</w:t>
      </w:r>
      <w:r w:rsidRPr="002C1D3D">
        <w:rPr>
          <w:rFonts w:ascii="Alkaios" w:hAnsi="Alkaios" w:cs="Arial"/>
          <w:sz w:val="22"/>
          <w:szCs w:val="22"/>
          <w:lang w:val="el-GR"/>
        </w:rPr>
        <w:t>ἰ</w:t>
      </w:r>
      <w:r w:rsidRPr="002C1D3D">
        <w:rPr>
          <w:rFonts w:ascii="Alkaios" w:hAnsi="Alkaios"/>
          <w:sz w:val="22"/>
          <w:szCs w:val="22"/>
          <w:lang w:val="el-GR"/>
        </w:rPr>
        <w:t>ς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/>
          <w:sz w:val="22"/>
          <w:szCs w:val="22"/>
          <w:lang w:val="el-GR"/>
        </w:rPr>
        <w:t>τ</w:t>
      </w:r>
      <w:r w:rsidRPr="002C1D3D">
        <w:rPr>
          <w:rFonts w:ascii="Alkaios" w:hAnsi="Alkaios" w:cs="Arial"/>
          <w:sz w:val="22"/>
          <w:szCs w:val="22"/>
          <w:lang w:val="el-GR"/>
        </w:rPr>
        <w:t>ὴ</w:t>
      </w:r>
      <w:r w:rsidRPr="002C1D3D">
        <w:rPr>
          <w:rFonts w:ascii="Alkaios" w:hAnsi="Alkaios"/>
          <w:sz w:val="22"/>
          <w:szCs w:val="22"/>
          <w:lang w:val="el-GR"/>
        </w:rPr>
        <w:t>ν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/>
          <w:sz w:val="22"/>
          <w:szCs w:val="22"/>
          <w:lang w:val="el-GR"/>
        </w:rPr>
        <w:t>πόλιν</w:t>
      </w:r>
      <w:r w:rsidRPr="002C1D3D">
        <w:rPr>
          <w:rFonts w:ascii="Alkaios" w:hAnsi="Alkaios"/>
          <w:sz w:val="22"/>
          <w:szCs w:val="22"/>
        </w:rPr>
        <w:t xml:space="preserve">. </w:t>
      </w:r>
    </w:p>
    <w:p w14:paraId="0A5FC896" w14:textId="77777777" w:rsidR="002C1D3D" w:rsidRDefault="002C1D3D" w:rsidP="00D57A34">
      <w:pPr>
        <w:pStyle w:val="Listenabsatz"/>
        <w:numPr>
          <w:ilvl w:val="1"/>
          <w:numId w:val="6"/>
        </w:numPr>
        <w:spacing w:after="120" w:line="254" w:lineRule="auto"/>
        <w:ind w:right="-709"/>
        <w:contextualSpacing w:val="0"/>
        <w:rPr>
          <w:rFonts w:ascii="Alkaios" w:hAnsi="Alkaios" w:cs="Arial"/>
          <w:sz w:val="22"/>
          <w:szCs w:val="22"/>
        </w:rPr>
      </w:pPr>
      <w:r w:rsidRPr="002C1D3D">
        <w:rPr>
          <w:rFonts w:ascii="Alkaios" w:hAnsi="Alkaios"/>
          <w:sz w:val="22"/>
          <w:szCs w:val="22"/>
          <w:lang w:val="el-GR"/>
        </w:rPr>
        <w:t>Μελάνθιος</w:t>
      </w:r>
      <w:r w:rsidRPr="002C1D3D">
        <w:rPr>
          <w:rFonts w:ascii="Alkaios" w:hAnsi="Alkaios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δὲ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αὐτοῖς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συντυγχάνων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ὁ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αἰπόλος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</w:rPr>
        <w:br/>
      </w:r>
      <w:r w:rsidRPr="002C1D3D">
        <w:rPr>
          <w:rFonts w:ascii="Alkaios" w:hAnsi="Alkaios" w:cs="Arial"/>
          <w:sz w:val="22"/>
          <w:szCs w:val="22"/>
          <w:lang w:val="el-GR"/>
        </w:rPr>
        <w:t>οἰκέτης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ὑπάρχων</w:t>
      </w:r>
      <w:r w:rsidRPr="002C1D3D">
        <w:rPr>
          <w:rFonts w:ascii="Alkaios" w:hAnsi="Alkaios" w:cs="Arial"/>
          <w:sz w:val="22"/>
          <w:szCs w:val="22"/>
        </w:rPr>
        <w:t xml:space="preserve"> </w:t>
      </w:r>
      <w:r w:rsidRPr="002C1D3D">
        <w:rPr>
          <w:rFonts w:ascii="Alkaios" w:hAnsi="Alkaios" w:cs="Arial"/>
          <w:sz w:val="22"/>
          <w:szCs w:val="22"/>
          <w:lang w:val="el-GR"/>
        </w:rPr>
        <w:t>ἀτιμάζει</w:t>
      </w:r>
      <w:r w:rsidRPr="002C1D3D">
        <w:rPr>
          <w:rFonts w:ascii="Alkaios" w:hAnsi="Alkaios" w:cs="Arial"/>
          <w:sz w:val="22"/>
          <w:szCs w:val="22"/>
        </w:rPr>
        <w:t xml:space="preserve">. </w:t>
      </w:r>
      <w:r w:rsidRPr="00F02425">
        <w:rPr>
          <w:rFonts w:ascii="Alkaios" w:hAnsi="Alkaios" w:cs="Arial"/>
          <w:sz w:val="22"/>
          <w:szCs w:val="22"/>
          <w:lang w:val="el-GR"/>
        </w:rPr>
        <w:t>παρα</w:t>
      </w:r>
      <w:r>
        <w:rPr>
          <w:rFonts w:ascii="Alkaios" w:hAnsi="Alkaios" w:cs="Arial"/>
          <w:sz w:val="22"/>
          <w:szCs w:val="22"/>
          <w:lang w:val="el-GR"/>
        </w:rPr>
        <w:t>γιγ</w:t>
      </w:r>
      <w:r w:rsidRPr="00F02425">
        <w:rPr>
          <w:rFonts w:ascii="Alkaios" w:hAnsi="Alkaios" w:cs="Arial"/>
          <w:sz w:val="22"/>
          <w:szCs w:val="22"/>
          <w:lang w:val="el-GR"/>
        </w:rPr>
        <w:t>νόμενος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δ</w:t>
      </w:r>
      <w:r w:rsidRPr="00D60BA8">
        <w:rPr>
          <w:rFonts w:ascii="Alkaios" w:hAnsi="Alkaios" w:cs="Arial"/>
          <w:sz w:val="22"/>
          <w:szCs w:val="22"/>
          <w:lang w:val="el-GR"/>
        </w:rPr>
        <w:t>ὲ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ε</w:t>
      </w:r>
      <w:r w:rsidRPr="00D60BA8">
        <w:rPr>
          <w:rFonts w:ascii="Alkaios" w:hAnsi="Alkaios" w:cs="Arial"/>
          <w:sz w:val="22"/>
          <w:szCs w:val="22"/>
          <w:lang w:val="el-GR"/>
        </w:rPr>
        <w:t>ἰ</w:t>
      </w:r>
      <w:r w:rsidRPr="00F02425">
        <w:rPr>
          <w:rFonts w:ascii="Alkaios" w:hAnsi="Alkaios" w:cs="Arial"/>
          <w:sz w:val="22"/>
          <w:szCs w:val="22"/>
          <w:lang w:val="el-GR"/>
        </w:rPr>
        <w:t>ς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τ</w:t>
      </w:r>
      <w:r w:rsidRPr="00D60BA8">
        <w:rPr>
          <w:rFonts w:ascii="Alkaios" w:hAnsi="Alkaios" w:cs="Arial"/>
          <w:sz w:val="22"/>
          <w:szCs w:val="22"/>
          <w:lang w:val="el-GR"/>
        </w:rPr>
        <w:t>ὰ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βασίλεια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το</w:t>
      </w:r>
      <w:r w:rsidRPr="00D60BA8">
        <w:rPr>
          <w:rFonts w:ascii="Alkaios" w:hAnsi="Alkaios" w:cs="Arial"/>
          <w:sz w:val="22"/>
          <w:szCs w:val="22"/>
          <w:lang w:val="el-GR"/>
        </w:rPr>
        <w:t>ὺ</w:t>
      </w:r>
      <w:r w:rsidRPr="00F02425">
        <w:rPr>
          <w:rFonts w:ascii="Alkaios" w:hAnsi="Alkaios" w:cs="Arial"/>
          <w:sz w:val="22"/>
          <w:szCs w:val="22"/>
          <w:lang w:val="el-GR"/>
        </w:rPr>
        <w:t>ς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μνηστ</w:t>
      </w:r>
      <w:r w:rsidRPr="00D60BA8">
        <w:rPr>
          <w:rFonts w:ascii="Alkaios" w:hAnsi="Alkaios" w:cs="Arial"/>
          <w:sz w:val="22"/>
          <w:szCs w:val="22"/>
          <w:lang w:val="el-GR"/>
        </w:rPr>
        <w:t>ῆ</w:t>
      </w:r>
      <w:r w:rsidRPr="00F02425">
        <w:rPr>
          <w:rFonts w:ascii="Alkaios" w:hAnsi="Alkaios" w:cs="Arial"/>
          <w:sz w:val="22"/>
          <w:szCs w:val="22"/>
          <w:lang w:val="el-GR"/>
        </w:rPr>
        <w:t>ρας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μεταιτεῖ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τροφήν</w:t>
      </w:r>
      <w:r w:rsidRPr="00A83FAA">
        <w:rPr>
          <w:rFonts w:ascii="Alkaios" w:hAnsi="Alkaios" w:cs="Arial"/>
          <w:sz w:val="22"/>
          <w:szCs w:val="22"/>
        </w:rPr>
        <w:t xml:space="preserve">, </w:t>
      </w:r>
      <w:r w:rsidRPr="00A83FAA">
        <w:rPr>
          <w:rFonts w:ascii="Alkaios" w:hAnsi="Alkaios" w:cs="Arial"/>
          <w:sz w:val="22"/>
          <w:szCs w:val="22"/>
        </w:rPr>
        <w:br/>
      </w:r>
      <w:r w:rsidRPr="00F02425">
        <w:rPr>
          <w:rFonts w:ascii="Alkaios" w:hAnsi="Alkaios" w:cs="Arial"/>
          <w:sz w:val="22"/>
          <w:szCs w:val="22"/>
          <w:lang w:val="el-GR"/>
        </w:rPr>
        <w:t>κα</w:t>
      </w:r>
      <w:r w:rsidRPr="00D60BA8">
        <w:rPr>
          <w:rFonts w:ascii="Alkaios" w:hAnsi="Alkaios" w:cs="Arial"/>
          <w:sz w:val="22"/>
          <w:szCs w:val="22"/>
          <w:lang w:val="el-GR"/>
        </w:rPr>
        <w:t>ὶ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ε</w:t>
      </w:r>
      <w:r w:rsidRPr="00D60BA8">
        <w:rPr>
          <w:rFonts w:ascii="Alkaios" w:hAnsi="Alkaios" w:cs="Arial"/>
          <w:sz w:val="22"/>
          <w:szCs w:val="22"/>
          <w:lang w:val="el-GR"/>
        </w:rPr>
        <w:t>ὑ</w:t>
      </w:r>
      <w:r w:rsidRPr="00F02425">
        <w:rPr>
          <w:rFonts w:ascii="Alkaios" w:hAnsi="Alkaios" w:cs="Arial"/>
          <w:sz w:val="22"/>
          <w:szCs w:val="22"/>
          <w:lang w:val="el-GR"/>
        </w:rPr>
        <w:t>ρ</w:t>
      </w:r>
      <w:r>
        <w:rPr>
          <w:rFonts w:ascii="Alkaios" w:hAnsi="Alkaios" w:cs="Arial"/>
          <w:sz w:val="22"/>
          <w:szCs w:val="22"/>
          <w:lang w:val="el-GR"/>
        </w:rPr>
        <w:t>ίσκω</w:t>
      </w:r>
      <w:r w:rsidRPr="00F02425">
        <w:rPr>
          <w:rFonts w:ascii="Alkaios" w:hAnsi="Alkaios" w:cs="Arial"/>
          <w:sz w:val="22"/>
          <w:szCs w:val="22"/>
          <w:lang w:val="el-GR"/>
        </w:rPr>
        <w:t>ν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μεταίτην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D60BA8">
        <w:rPr>
          <w:rFonts w:ascii="Alkaios" w:hAnsi="Alkaios" w:cs="Arial"/>
          <w:sz w:val="22"/>
          <w:szCs w:val="22"/>
          <w:lang w:val="el-GR"/>
        </w:rPr>
        <w:t>Ἶ</w:t>
      </w:r>
      <w:r w:rsidRPr="00F02425">
        <w:rPr>
          <w:rFonts w:ascii="Alkaios" w:hAnsi="Alkaios" w:cs="Arial"/>
          <w:sz w:val="22"/>
          <w:szCs w:val="22"/>
          <w:lang w:val="el-GR"/>
        </w:rPr>
        <w:t>ρον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καλούμενον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διαπαλαίει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α</w:t>
      </w:r>
      <w:r w:rsidRPr="00D60BA8">
        <w:rPr>
          <w:rFonts w:ascii="Alkaios" w:hAnsi="Alkaios" w:cs="Arial"/>
          <w:sz w:val="22"/>
          <w:szCs w:val="22"/>
          <w:lang w:val="el-GR"/>
        </w:rPr>
        <w:t>ὐ</w:t>
      </w:r>
      <w:r w:rsidRPr="00F02425">
        <w:rPr>
          <w:rFonts w:ascii="Alkaios" w:hAnsi="Alkaios" w:cs="Arial"/>
          <w:sz w:val="22"/>
          <w:szCs w:val="22"/>
          <w:lang w:val="el-GR"/>
        </w:rPr>
        <w:t>τ</w:t>
      </w:r>
      <w:r w:rsidRPr="00D60BA8">
        <w:rPr>
          <w:rFonts w:ascii="Alkaios" w:hAnsi="Alkaios" w:cs="Arial"/>
          <w:sz w:val="22"/>
          <w:szCs w:val="22"/>
          <w:lang w:val="el-GR"/>
        </w:rPr>
        <w:t>ῷ</w:t>
      </w:r>
      <w:r w:rsidRPr="00A83FAA">
        <w:rPr>
          <w:rFonts w:ascii="Alkaios" w:hAnsi="Alkaios" w:cs="Arial"/>
          <w:sz w:val="22"/>
          <w:szCs w:val="22"/>
        </w:rPr>
        <w:t xml:space="preserve">. </w:t>
      </w:r>
    </w:p>
    <w:p w14:paraId="6E51D7D2" w14:textId="77777777" w:rsidR="002C1D3D" w:rsidRPr="00A83FAA" w:rsidRDefault="002C1D3D" w:rsidP="00D57A34">
      <w:pPr>
        <w:pStyle w:val="Listenabsatz"/>
        <w:numPr>
          <w:ilvl w:val="1"/>
          <w:numId w:val="6"/>
        </w:numPr>
        <w:spacing w:after="120" w:line="254" w:lineRule="auto"/>
        <w:ind w:right="-709"/>
        <w:contextualSpacing w:val="0"/>
        <w:rPr>
          <w:rFonts w:ascii="Alkaios" w:hAnsi="Alkaios" w:cs="Arial"/>
          <w:sz w:val="22"/>
          <w:szCs w:val="22"/>
        </w:rPr>
      </w:pPr>
      <w:r w:rsidRPr="00F02425">
        <w:rPr>
          <w:rFonts w:ascii="Alkaios" w:hAnsi="Alkaios" w:cs="Arial"/>
          <w:sz w:val="22"/>
          <w:szCs w:val="22"/>
          <w:lang w:val="el-GR"/>
        </w:rPr>
        <w:t>παρα</w:t>
      </w:r>
      <w:r>
        <w:rPr>
          <w:rFonts w:ascii="Alkaios" w:hAnsi="Alkaios" w:cs="Arial"/>
          <w:sz w:val="22"/>
          <w:szCs w:val="22"/>
          <w:lang w:val="el-GR"/>
        </w:rPr>
        <w:t>γιγ</w:t>
      </w:r>
      <w:r w:rsidRPr="00F02425">
        <w:rPr>
          <w:rFonts w:ascii="Alkaios" w:hAnsi="Alkaios" w:cs="Arial"/>
          <w:sz w:val="22"/>
          <w:szCs w:val="22"/>
          <w:lang w:val="el-GR"/>
        </w:rPr>
        <w:t>νόμενος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δ</w:t>
      </w:r>
      <w:r w:rsidRPr="00D60BA8">
        <w:rPr>
          <w:rFonts w:ascii="Alkaios" w:hAnsi="Alkaios" w:cs="Arial"/>
          <w:sz w:val="22"/>
          <w:szCs w:val="22"/>
          <w:lang w:val="el-GR"/>
        </w:rPr>
        <w:t>ὲ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ε</w:t>
      </w:r>
      <w:r w:rsidRPr="00D60BA8">
        <w:rPr>
          <w:rFonts w:ascii="Alkaios" w:hAnsi="Alkaios" w:cs="Arial"/>
          <w:sz w:val="22"/>
          <w:szCs w:val="22"/>
          <w:lang w:val="el-GR"/>
        </w:rPr>
        <w:t>ἰ</w:t>
      </w:r>
      <w:r w:rsidRPr="00F02425">
        <w:rPr>
          <w:rFonts w:ascii="Alkaios" w:hAnsi="Alkaios" w:cs="Arial"/>
          <w:sz w:val="22"/>
          <w:szCs w:val="22"/>
          <w:lang w:val="el-GR"/>
        </w:rPr>
        <w:t>ς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τ</w:t>
      </w:r>
      <w:r w:rsidRPr="00D60BA8">
        <w:rPr>
          <w:rFonts w:ascii="Alkaios" w:hAnsi="Alkaios" w:cs="Arial"/>
          <w:sz w:val="22"/>
          <w:szCs w:val="22"/>
          <w:lang w:val="el-GR"/>
        </w:rPr>
        <w:t>ὰ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βασίλεια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το</w:t>
      </w:r>
      <w:r w:rsidRPr="00D60BA8">
        <w:rPr>
          <w:rFonts w:ascii="Alkaios" w:hAnsi="Alkaios" w:cs="Arial"/>
          <w:sz w:val="22"/>
          <w:szCs w:val="22"/>
          <w:lang w:val="el-GR"/>
        </w:rPr>
        <w:t>ὺ</w:t>
      </w:r>
      <w:r w:rsidRPr="00F02425">
        <w:rPr>
          <w:rFonts w:ascii="Alkaios" w:hAnsi="Alkaios" w:cs="Arial"/>
          <w:sz w:val="22"/>
          <w:szCs w:val="22"/>
          <w:lang w:val="el-GR"/>
        </w:rPr>
        <w:t>ς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μνηστ</w:t>
      </w:r>
      <w:r w:rsidRPr="00D60BA8">
        <w:rPr>
          <w:rFonts w:ascii="Alkaios" w:hAnsi="Alkaios" w:cs="Arial"/>
          <w:sz w:val="22"/>
          <w:szCs w:val="22"/>
          <w:lang w:val="el-GR"/>
        </w:rPr>
        <w:t>ῆ</w:t>
      </w:r>
      <w:r w:rsidRPr="00F02425">
        <w:rPr>
          <w:rFonts w:ascii="Alkaios" w:hAnsi="Alkaios" w:cs="Arial"/>
          <w:sz w:val="22"/>
          <w:szCs w:val="22"/>
          <w:lang w:val="el-GR"/>
        </w:rPr>
        <w:t>ρας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μεταιτεῖ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τροφήν</w:t>
      </w:r>
      <w:r w:rsidRPr="00A83FAA">
        <w:rPr>
          <w:rFonts w:ascii="Alkaios" w:hAnsi="Alkaios" w:cs="Arial"/>
          <w:sz w:val="22"/>
          <w:szCs w:val="22"/>
        </w:rPr>
        <w:t xml:space="preserve">, </w:t>
      </w:r>
      <w:r w:rsidRPr="00A83FAA">
        <w:rPr>
          <w:rFonts w:ascii="Alkaios" w:hAnsi="Alkaios" w:cs="Arial"/>
          <w:sz w:val="22"/>
          <w:szCs w:val="22"/>
        </w:rPr>
        <w:br/>
      </w:r>
      <w:r w:rsidRPr="00F02425">
        <w:rPr>
          <w:rFonts w:ascii="Alkaios" w:hAnsi="Alkaios" w:cs="Arial"/>
          <w:sz w:val="22"/>
          <w:szCs w:val="22"/>
          <w:lang w:val="el-GR"/>
        </w:rPr>
        <w:t>κα</w:t>
      </w:r>
      <w:r w:rsidRPr="00D60BA8">
        <w:rPr>
          <w:rFonts w:ascii="Alkaios" w:hAnsi="Alkaios" w:cs="Arial"/>
          <w:sz w:val="22"/>
          <w:szCs w:val="22"/>
          <w:lang w:val="el-GR"/>
        </w:rPr>
        <w:t>ὶ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ε</w:t>
      </w:r>
      <w:r w:rsidRPr="00D60BA8">
        <w:rPr>
          <w:rFonts w:ascii="Alkaios" w:hAnsi="Alkaios" w:cs="Arial"/>
          <w:sz w:val="22"/>
          <w:szCs w:val="22"/>
          <w:lang w:val="el-GR"/>
        </w:rPr>
        <w:t>ὑ</w:t>
      </w:r>
      <w:r w:rsidRPr="00F02425">
        <w:rPr>
          <w:rFonts w:ascii="Alkaios" w:hAnsi="Alkaios" w:cs="Arial"/>
          <w:sz w:val="22"/>
          <w:szCs w:val="22"/>
          <w:lang w:val="el-GR"/>
        </w:rPr>
        <w:t>ρ</w:t>
      </w:r>
      <w:r>
        <w:rPr>
          <w:rFonts w:ascii="Alkaios" w:hAnsi="Alkaios" w:cs="Arial"/>
          <w:sz w:val="22"/>
          <w:szCs w:val="22"/>
          <w:lang w:val="el-GR"/>
        </w:rPr>
        <w:t>ίσκω</w:t>
      </w:r>
      <w:r w:rsidRPr="00F02425">
        <w:rPr>
          <w:rFonts w:ascii="Alkaios" w:hAnsi="Alkaios" w:cs="Arial"/>
          <w:sz w:val="22"/>
          <w:szCs w:val="22"/>
          <w:lang w:val="el-GR"/>
        </w:rPr>
        <w:t>ν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μεταίτην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D60BA8">
        <w:rPr>
          <w:rFonts w:ascii="Alkaios" w:hAnsi="Alkaios" w:cs="Arial"/>
          <w:sz w:val="22"/>
          <w:szCs w:val="22"/>
          <w:lang w:val="el-GR"/>
        </w:rPr>
        <w:t>Ἶ</w:t>
      </w:r>
      <w:r w:rsidRPr="00F02425">
        <w:rPr>
          <w:rFonts w:ascii="Alkaios" w:hAnsi="Alkaios" w:cs="Arial"/>
          <w:sz w:val="22"/>
          <w:szCs w:val="22"/>
          <w:lang w:val="el-GR"/>
        </w:rPr>
        <w:t>ρον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καλούμενον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διαπαλαίει</w:t>
      </w:r>
      <w:r w:rsidRPr="00A83FAA">
        <w:rPr>
          <w:rFonts w:ascii="Alkaios" w:hAnsi="Alkaios" w:cs="Arial"/>
          <w:sz w:val="22"/>
          <w:szCs w:val="22"/>
        </w:rPr>
        <w:t xml:space="preserve"> </w:t>
      </w:r>
      <w:r w:rsidRPr="00F02425">
        <w:rPr>
          <w:rFonts w:ascii="Alkaios" w:hAnsi="Alkaios" w:cs="Arial"/>
          <w:sz w:val="22"/>
          <w:szCs w:val="22"/>
          <w:lang w:val="el-GR"/>
        </w:rPr>
        <w:t>α</w:t>
      </w:r>
      <w:r w:rsidRPr="00D60BA8">
        <w:rPr>
          <w:rFonts w:ascii="Alkaios" w:hAnsi="Alkaios" w:cs="Arial"/>
          <w:sz w:val="22"/>
          <w:szCs w:val="22"/>
          <w:lang w:val="el-GR"/>
        </w:rPr>
        <w:t>ὐ</w:t>
      </w:r>
      <w:r w:rsidRPr="00F02425">
        <w:rPr>
          <w:rFonts w:ascii="Alkaios" w:hAnsi="Alkaios" w:cs="Arial"/>
          <w:sz w:val="22"/>
          <w:szCs w:val="22"/>
          <w:lang w:val="el-GR"/>
        </w:rPr>
        <w:t>τ</w:t>
      </w:r>
      <w:r w:rsidRPr="00D60BA8">
        <w:rPr>
          <w:rFonts w:ascii="Alkaios" w:hAnsi="Alkaios" w:cs="Arial"/>
          <w:sz w:val="22"/>
          <w:szCs w:val="22"/>
          <w:lang w:val="el-GR"/>
        </w:rPr>
        <w:t>ῷ</w:t>
      </w:r>
      <w:r w:rsidRPr="00A83FAA">
        <w:rPr>
          <w:rFonts w:ascii="Alkaios" w:hAnsi="Alkaios" w:cs="Arial"/>
          <w:sz w:val="22"/>
          <w:szCs w:val="22"/>
        </w:rPr>
        <w:t xml:space="preserve">. </w:t>
      </w:r>
    </w:p>
    <w:p w14:paraId="3960FB08" w14:textId="08BB3FE7" w:rsidR="002C1D3D" w:rsidRDefault="002C1D3D" w:rsidP="00D57A34">
      <w:pPr>
        <w:pStyle w:val="Listenabsatz"/>
        <w:numPr>
          <w:ilvl w:val="0"/>
          <w:numId w:val="6"/>
        </w:numPr>
        <w:spacing w:after="120" w:line="240" w:lineRule="auto"/>
        <w:ind w:right="-709"/>
        <w:contextualSpacing w:val="0"/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 xml:space="preserve">Bitte fügt die Endungen aus der ersten Reihe an die passenden Wortstämme an </w:t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br/>
        <w:t>(</w:t>
      </w:r>
      <w:r w:rsidR="00D57A34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 xml:space="preserve">Mehrfachverwendung erlaubt. </w:t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>Akzente beachten!) und übersetzt dahinter die Form ins Deutsche</w:t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br/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val="el-GR" w:eastAsia="de-DE"/>
          <w14:ligatures w14:val="none"/>
        </w:rPr>
        <w:t>α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eastAsia="de-DE"/>
          <w14:ligatures w14:val="none"/>
        </w:rPr>
        <w:t xml:space="preserve">   /  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val="el-GR" w:eastAsia="de-DE"/>
          <w14:ligatures w14:val="none"/>
        </w:rPr>
        <w:t>ᾳ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eastAsia="de-DE"/>
          <w14:ligatures w14:val="none"/>
        </w:rPr>
        <w:t xml:space="preserve">   /  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val="el-GR" w:eastAsia="de-DE"/>
          <w14:ligatures w14:val="none"/>
        </w:rPr>
        <w:t>εσθαι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eastAsia="de-DE"/>
          <w14:ligatures w14:val="none"/>
        </w:rPr>
        <w:t xml:space="preserve">   /  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val="el-GR" w:eastAsia="de-DE"/>
          <w14:ligatures w14:val="none"/>
        </w:rPr>
        <w:t>ετε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eastAsia="de-DE"/>
          <w14:ligatures w14:val="none"/>
        </w:rPr>
        <w:t xml:space="preserve">   /  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val="el-GR" w:eastAsia="de-DE"/>
          <w14:ligatures w14:val="none"/>
        </w:rPr>
        <w:t>ῃ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eastAsia="de-DE"/>
          <w14:ligatures w14:val="none"/>
        </w:rPr>
        <w:t xml:space="preserve">   /  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val="el-GR" w:eastAsia="de-DE"/>
          <w14:ligatures w14:val="none"/>
        </w:rPr>
        <w:t>όμεθα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eastAsia="de-DE"/>
          <w14:ligatures w14:val="none"/>
        </w:rPr>
        <w:t xml:space="preserve">   /  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val="el-GR" w:eastAsia="de-DE"/>
          <w14:ligatures w14:val="none"/>
        </w:rPr>
        <w:t>ους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eastAsia="de-DE"/>
          <w14:ligatures w14:val="none"/>
        </w:rPr>
        <w:t xml:space="preserve">   /  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val="el-GR" w:eastAsia="de-DE"/>
          <w14:ligatures w14:val="none"/>
        </w:rPr>
        <w:t>ουσιν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eastAsia="de-DE"/>
          <w14:ligatures w14:val="none"/>
        </w:rPr>
        <w:t xml:space="preserve">   /  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val="el-GR" w:eastAsia="de-DE"/>
          <w14:ligatures w14:val="none"/>
        </w:rPr>
        <w:t>οῦσιν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eastAsia="de-DE"/>
          <w14:ligatures w14:val="none"/>
        </w:rPr>
        <w:t xml:space="preserve">   /  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val="el-GR" w:eastAsia="de-DE"/>
          <w14:ligatures w14:val="none"/>
        </w:rPr>
        <w:t>σιν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eastAsia="de-DE"/>
          <w14:ligatures w14:val="none"/>
        </w:rPr>
        <w:t xml:space="preserve">   /  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val="el-GR" w:eastAsia="de-DE"/>
          <w14:ligatures w14:val="none"/>
        </w:rPr>
        <w:t>ῳ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eastAsia="de-DE"/>
          <w14:ligatures w14:val="none"/>
        </w:rPr>
        <w:t xml:space="preserve">   /  </w:t>
      </w:r>
      <w:r w:rsidRPr="00063773">
        <w:rPr>
          <w:rFonts w:ascii="Alkaios" w:eastAsia="Times New Roman" w:hAnsi="Alkaios" w:cs="Times New Roman"/>
          <w:b/>
          <w:bCs/>
          <w:kern w:val="0"/>
          <w:sz w:val="22"/>
          <w:szCs w:val="22"/>
          <w:lang w:val="el-GR" w:eastAsia="de-DE"/>
          <w14:ligatures w14:val="none"/>
        </w:rPr>
        <w:t>ων</w:t>
      </w:r>
      <w:r w:rsidRPr="00063773">
        <w:rPr>
          <w:rFonts w:ascii="Alkaios" w:eastAsia="Times New Roman" w:hAnsi="Alkaios" w:cs="Times New Roman"/>
          <w:b/>
          <w:bCs/>
          <w:kern w:val="0"/>
          <w:sz w:val="22"/>
          <w:szCs w:val="22"/>
          <w:lang w:eastAsia="de-DE"/>
          <w14:ligatures w14:val="none"/>
        </w:rPr>
        <w:t xml:space="preserve">   /  </w:t>
      </w:r>
      <w:r w:rsidRPr="00063773">
        <w:rPr>
          <w:rFonts w:ascii="Alkaios" w:eastAsia="Times New Roman" w:hAnsi="Alkaios" w:cs="Arial"/>
          <w:b/>
          <w:bCs/>
          <w:kern w:val="0"/>
          <w:sz w:val="22"/>
          <w:szCs w:val="22"/>
          <w:lang w:val="el-GR" w:eastAsia="de-DE"/>
          <w14:ligatures w14:val="none"/>
        </w:rPr>
        <w:t>ῶν</w:t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br/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val="el-GR" w:eastAsia="de-DE"/>
          <w14:ligatures w14:val="none"/>
        </w:rPr>
        <w:t>κοσμί</w:t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>-</w:t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br/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val="el-GR" w:eastAsia="de-DE"/>
          <w14:ligatures w14:val="none"/>
        </w:rPr>
        <w:t>νομίζ</w:t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>-</w:t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br/>
      </w:r>
      <w:r w:rsidRPr="00063773">
        <w:rPr>
          <w:rFonts w:ascii="Alkaios" w:eastAsia="Times New Roman" w:hAnsi="Alkaios" w:cs="Times New Roman"/>
          <w:color w:val="000000"/>
          <w:kern w:val="0"/>
          <w:sz w:val="22"/>
          <w:szCs w:val="22"/>
          <w:lang w:val="el-GR" w:eastAsia="de-DE"/>
          <w14:ligatures w14:val="none"/>
        </w:rPr>
        <w:t>πα</w:t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val="el-GR" w:eastAsia="de-DE"/>
          <w14:ligatures w14:val="none"/>
        </w:rPr>
        <w:t>ί</w:t>
      </w:r>
      <w:r w:rsidRPr="00063773">
        <w:rPr>
          <w:rFonts w:ascii="Alkaios" w:eastAsia="Times New Roman" w:hAnsi="Alkaios" w:cs="Times New Roman"/>
          <w:color w:val="000000"/>
          <w:kern w:val="0"/>
          <w:sz w:val="22"/>
          <w:szCs w:val="22"/>
          <w:lang w:val="el-GR" w:eastAsia="de-DE"/>
          <w14:ligatures w14:val="none"/>
        </w:rPr>
        <w:t>δ</w:t>
      </w:r>
      <w:r w:rsidRPr="00063773">
        <w:rPr>
          <w:rFonts w:ascii="Alkaios" w:eastAsia="Times New Roman" w:hAnsi="Alkaios" w:cs="Times New Roman"/>
          <w:color w:val="000000"/>
          <w:kern w:val="0"/>
          <w:sz w:val="22"/>
          <w:szCs w:val="22"/>
          <w:lang w:eastAsia="de-DE"/>
          <w14:ligatures w14:val="none"/>
        </w:rPr>
        <w:t>-</w:t>
      </w:r>
      <w:r w:rsidRPr="00063773">
        <w:rPr>
          <w:rFonts w:ascii="Alkaios" w:eastAsia="Times New Roman" w:hAnsi="Alkaios" w:cs="Times New Roman"/>
          <w:color w:val="000000"/>
          <w:kern w:val="0"/>
          <w:sz w:val="22"/>
          <w:szCs w:val="22"/>
          <w:lang w:eastAsia="de-DE"/>
          <w14:ligatures w14:val="none"/>
        </w:rPr>
        <w:br/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val="el-GR" w:eastAsia="de-DE"/>
          <w14:ligatures w14:val="none"/>
        </w:rPr>
        <w:t>πατρί</w:t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>-</w:t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br/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val="el-GR" w:eastAsia="de-DE"/>
          <w14:ligatures w14:val="none"/>
        </w:rPr>
        <w:t>ταῦτ</w:t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>-</w:t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br/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val="el-GR" w:eastAsia="de-DE"/>
          <w14:ligatures w14:val="none"/>
        </w:rPr>
        <w:t>τρέχ</w:t>
      </w:r>
      <w:r w:rsidRPr="00063773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>-</w:t>
      </w:r>
    </w:p>
    <w:p w14:paraId="4DB2E975" w14:textId="77777777" w:rsidR="00D57A34" w:rsidRDefault="002C1D3D" w:rsidP="00D57A34">
      <w:pPr>
        <w:pStyle w:val="Listenabsatz"/>
        <w:numPr>
          <w:ilvl w:val="0"/>
          <w:numId w:val="6"/>
        </w:numPr>
        <w:spacing w:after="120" w:line="240" w:lineRule="auto"/>
        <w:ind w:right="-709"/>
        <w:contextualSpacing w:val="0"/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867928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>Und ein ins Gr. zu übersetzende Sätzchen gibt’s auch noch</w:t>
      </w:r>
      <w:r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>, aber nur, wenn Ihr mögt</w:t>
      </w:r>
      <w:r w:rsidRPr="00867928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>.</w:t>
      </w:r>
      <w:r w:rsidRPr="00867928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br/>
        <w:t>Bitte übersetzt alle Nebensätze mit Partizipien:</w:t>
      </w:r>
    </w:p>
    <w:p w14:paraId="4326A90A" w14:textId="77777777" w:rsidR="00D57A34" w:rsidRDefault="002C1D3D" w:rsidP="00D57A34">
      <w:pPr>
        <w:spacing w:after="120" w:line="240" w:lineRule="auto"/>
        <w:ind w:left="284" w:right="-709"/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>Antinoos der Anführer (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val="el-GR" w:eastAsia="de-DE"/>
          <w14:ligatures w14:val="none"/>
        </w:rPr>
        <w:t>ἄρχω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>) der Freier, die Odysseus‘ Besitz (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val="el-GR" w:eastAsia="de-DE"/>
          <w14:ligatures w14:val="none"/>
        </w:rPr>
        <w:t>ἡ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val="el-GR" w:eastAsia="de-DE"/>
          <w14:ligatures w14:val="none"/>
        </w:rPr>
        <w:t>οὐσία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 xml:space="preserve">) verzehren, erkennt den Herren </w:t>
      </w:r>
      <w:r w:rsidR="00D57A34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br/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>(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val="el-GR" w:eastAsia="de-DE"/>
          <w14:ligatures w14:val="none"/>
        </w:rPr>
        <w:t>ὁ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val="el-GR" w:eastAsia="de-DE"/>
          <w14:ligatures w14:val="none"/>
        </w:rPr>
        <w:t>κύριος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 xml:space="preserve">, 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val="el-GR" w:eastAsia="de-DE"/>
          <w14:ligatures w14:val="none"/>
        </w:rPr>
        <w:t>ου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 xml:space="preserve">) nicht, als er in die Königsburg kommt. </w:t>
      </w:r>
    </w:p>
    <w:p w14:paraId="588B3872" w14:textId="190DD810" w:rsidR="002C1D3D" w:rsidRPr="00D57A34" w:rsidRDefault="002C1D3D" w:rsidP="00D57A34">
      <w:pPr>
        <w:spacing w:after="120" w:line="240" w:lineRule="auto"/>
        <w:ind w:left="284" w:right="-709"/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</w:pP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>Denn, da er ein Bettler wird, kann er auch von seinem (dem) lieben Hund (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val="el-GR" w:eastAsia="de-DE"/>
          <w14:ligatures w14:val="none"/>
        </w:rPr>
        <w:t>ὁ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 xml:space="preserve"> 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val="el-GR" w:eastAsia="de-DE"/>
          <w14:ligatures w14:val="none"/>
        </w:rPr>
        <w:t>κύων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 xml:space="preserve">, 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val="el-GR" w:eastAsia="de-DE"/>
          <w14:ligatures w14:val="none"/>
        </w:rPr>
        <w:t>κυνός</w:t>
      </w:r>
      <w:r w:rsidRPr="00D57A34">
        <w:rPr>
          <w:rFonts w:ascii="Alkaios" w:eastAsia="Times New Roman" w:hAnsi="Alkaios" w:cs="Arial"/>
          <w:color w:val="000000"/>
          <w:kern w:val="0"/>
          <w:sz w:val="22"/>
          <w:szCs w:val="22"/>
          <w:lang w:eastAsia="de-DE"/>
          <w14:ligatures w14:val="none"/>
        </w:rPr>
        <w:t xml:space="preserve">) nicht wiedererkannt werden. </w:t>
      </w:r>
    </w:p>
    <w:p w14:paraId="5B34797F" w14:textId="77777777" w:rsidR="00BB5AEE" w:rsidRDefault="00BB5AEE"/>
    <w:sectPr w:rsidR="00BB5A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D9641" w14:textId="77777777" w:rsidR="002E7C6E" w:rsidRDefault="002E7C6E" w:rsidP="002C1D3D">
      <w:pPr>
        <w:spacing w:after="0" w:line="240" w:lineRule="auto"/>
      </w:pPr>
      <w:r>
        <w:separator/>
      </w:r>
    </w:p>
  </w:endnote>
  <w:endnote w:type="continuationSeparator" w:id="0">
    <w:p w14:paraId="0A2F797D" w14:textId="77777777" w:rsidR="002E7C6E" w:rsidRDefault="002E7C6E" w:rsidP="002C1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kaios">
    <w:panose1 w:val="00000400000000000000"/>
    <w:charset w:val="00"/>
    <w:family w:val="auto"/>
    <w:pitch w:val="variable"/>
    <w:sig w:usb0="C00002EF" w:usb1="1000E0E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exander">
    <w:panose1 w:val="02020602090805090A03"/>
    <w:charset w:val="00"/>
    <w:family w:val="roman"/>
    <w:pitch w:val="variable"/>
    <w:sig w:usb0="E00002FF" w:usb1="5200F8DB" w:usb2="05000021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B7160" w14:textId="77777777" w:rsidR="002E7C6E" w:rsidRDefault="002E7C6E" w:rsidP="002C1D3D">
      <w:pPr>
        <w:spacing w:after="0" w:line="240" w:lineRule="auto"/>
      </w:pPr>
      <w:r>
        <w:separator/>
      </w:r>
    </w:p>
  </w:footnote>
  <w:footnote w:type="continuationSeparator" w:id="0">
    <w:p w14:paraId="293D1530" w14:textId="77777777" w:rsidR="002E7C6E" w:rsidRDefault="002E7C6E" w:rsidP="002C1D3D">
      <w:pPr>
        <w:spacing w:after="0" w:line="240" w:lineRule="auto"/>
      </w:pPr>
      <w:r>
        <w:continuationSeparator/>
      </w:r>
    </w:p>
  </w:footnote>
  <w:footnote w:id="1">
    <w:p w14:paraId="5663FC01" w14:textId="77777777" w:rsidR="002C1D3D" w:rsidRPr="00A83FAA" w:rsidRDefault="002C1D3D" w:rsidP="002C1D3D">
      <w:pPr>
        <w:pStyle w:val="Funotentext"/>
        <w:ind w:right="-709"/>
        <w:rPr>
          <w:rFonts w:ascii="Alexander" w:hAnsi="Alexander"/>
        </w:rPr>
      </w:pPr>
      <w:r w:rsidRPr="00A83FAA">
        <w:rPr>
          <w:rStyle w:val="Funotenzeichen"/>
          <w:rFonts w:ascii="Alexander" w:hAnsi="Alexander"/>
        </w:rPr>
        <w:footnoteRef/>
      </w:r>
      <w:r w:rsidRPr="00A83FAA">
        <w:rPr>
          <w:rFonts w:ascii="Alexander" w:hAnsi="Alexander"/>
        </w:rPr>
        <w:t xml:space="preserve"> </w:t>
      </w:r>
      <w:r w:rsidRPr="00A83FAA">
        <w:rPr>
          <w:rFonts w:ascii="Alexander" w:hAnsi="Alexander" w:cs="Arial"/>
          <w:sz w:val="18"/>
          <w:szCs w:val="18"/>
          <w:lang w:val="el-GR"/>
        </w:rPr>
        <w:t>ἀπεργάσεται</w:t>
      </w:r>
      <w:r w:rsidRPr="00A83FAA">
        <w:rPr>
          <w:rFonts w:ascii="Alexander" w:hAnsi="Alexander" w:cs="Arial"/>
          <w:sz w:val="18"/>
          <w:szCs w:val="18"/>
        </w:rPr>
        <w:t xml:space="preserve">: Futur zu </w:t>
      </w:r>
      <w:r w:rsidRPr="00A83FAA">
        <w:rPr>
          <w:rFonts w:ascii="Alexander" w:hAnsi="Alexander" w:cs="Arial"/>
          <w:sz w:val="18"/>
          <w:szCs w:val="18"/>
          <w:lang w:val="el-GR"/>
        </w:rPr>
        <w:t>ἀπεργάζεται</w:t>
      </w:r>
      <w:r w:rsidRPr="00A83FAA">
        <w:rPr>
          <w:rFonts w:ascii="Alexander" w:hAnsi="Alexander" w:cs="Arial"/>
          <w:sz w:val="18"/>
          <w:szCs w:val="18"/>
        </w:rPr>
        <w:t>, hier „sie wird abarbeiten = sie wird fertigstellen/ beenden“, erkennbar an -</w:t>
      </w:r>
      <w:r w:rsidRPr="00A83FAA">
        <w:rPr>
          <w:rFonts w:ascii="Alexander" w:hAnsi="Alexander" w:cs="Arial"/>
          <w:sz w:val="18"/>
          <w:szCs w:val="18"/>
          <w:lang w:val="el-GR"/>
        </w:rPr>
        <w:t>σ</w:t>
      </w:r>
      <w:r w:rsidRPr="00A83FAA">
        <w:rPr>
          <w:rFonts w:ascii="Alexander" w:hAnsi="Alexander" w:cs="Arial"/>
          <w:sz w:val="18"/>
          <w:szCs w:val="18"/>
        </w:rPr>
        <w:t xml:space="preserve">- themat. </w:t>
      </w:r>
      <w:r>
        <w:rPr>
          <w:rFonts w:ascii="Alexander" w:hAnsi="Alexander" w:cs="Arial"/>
          <w:sz w:val="18"/>
          <w:szCs w:val="18"/>
        </w:rPr>
        <w:t>Pers.E</w:t>
      </w:r>
      <w:r w:rsidRPr="00A83FAA">
        <w:rPr>
          <w:rFonts w:ascii="Alexander" w:hAnsi="Alexander" w:cs="Arial"/>
          <w:sz w:val="18"/>
          <w:szCs w:val="18"/>
        </w:rPr>
        <w:t>ndung</w:t>
      </w:r>
    </w:p>
  </w:footnote>
  <w:footnote w:id="2">
    <w:p w14:paraId="54C78C34" w14:textId="77777777" w:rsidR="002C1D3D" w:rsidRPr="00A83FAA" w:rsidRDefault="002C1D3D" w:rsidP="002C1D3D">
      <w:pPr>
        <w:pStyle w:val="Funotentext"/>
        <w:rPr>
          <w:rFonts w:ascii="Alexander" w:hAnsi="Alexander" w:cs="Arial"/>
          <w:sz w:val="18"/>
          <w:szCs w:val="18"/>
        </w:rPr>
      </w:pPr>
      <w:r w:rsidRPr="003F60A8">
        <w:rPr>
          <w:rStyle w:val="Funotenzeichen"/>
          <w:rFonts w:ascii="Alkaios" w:hAnsi="Alkaios"/>
        </w:rPr>
        <w:footnoteRef/>
      </w:r>
      <w:r w:rsidRPr="003F60A8">
        <w:rPr>
          <w:rFonts w:ascii="Alkaios" w:hAnsi="Alkaios"/>
        </w:rPr>
        <w:t xml:space="preserve"> </w:t>
      </w:r>
      <w:r w:rsidRPr="00A83FAA">
        <w:rPr>
          <w:rFonts w:ascii="Alexander" w:hAnsi="Alexander" w:cs="Arial"/>
          <w:sz w:val="18"/>
          <w:szCs w:val="18"/>
        </w:rPr>
        <w:t>ὑπό steht beim Passiv und bezeichnet d</w:t>
      </w:r>
      <w:r>
        <w:rPr>
          <w:rFonts w:ascii="Alexander" w:hAnsi="Alexander" w:cs="Arial"/>
          <w:sz w:val="18"/>
          <w:szCs w:val="18"/>
        </w:rPr>
        <w:t>ie Person</w:t>
      </w:r>
      <w:r w:rsidRPr="00A83FAA">
        <w:rPr>
          <w:rFonts w:ascii="Alexander" w:hAnsi="Alexander" w:cs="Arial"/>
          <w:sz w:val="18"/>
          <w:szCs w:val="18"/>
        </w:rPr>
        <w:t>, „von“ de</w:t>
      </w:r>
      <w:r>
        <w:rPr>
          <w:rFonts w:ascii="Alexander" w:hAnsi="Alexander" w:cs="Arial"/>
          <w:sz w:val="18"/>
          <w:szCs w:val="18"/>
        </w:rPr>
        <w:t>r</w:t>
      </w:r>
      <w:r w:rsidRPr="00A83FAA">
        <w:rPr>
          <w:rFonts w:ascii="Alexander" w:hAnsi="Alexander" w:cs="Arial"/>
          <w:sz w:val="18"/>
          <w:szCs w:val="18"/>
        </w:rPr>
        <w:t xml:space="preserve"> etwas gemacht wird</w:t>
      </w:r>
      <w:r>
        <w:rPr>
          <w:rFonts w:ascii="Alexander" w:hAnsi="Alexander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4023C"/>
    <w:multiLevelType w:val="multilevel"/>
    <w:tmpl w:val="02E8E312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18A7063"/>
    <w:multiLevelType w:val="hybridMultilevel"/>
    <w:tmpl w:val="DAFA27B0"/>
    <w:lvl w:ilvl="0" w:tplc="C3E00314">
      <w:start w:val="1"/>
      <w:numFmt w:val="decimal"/>
      <w:lvlText w:val="%1"/>
      <w:lvlJc w:val="left"/>
      <w:pPr>
        <w:ind w:left="720" w:hanging="360"/>
      </w:pPr>
      <w:rPr>
        <w:rFonts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50DF2"/>
    <w:multiLevelType w:val="multilevel"/>
    <w:tmpl w:val="122EE20A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D264F27"/>
    <w:multiLevelType w:val="hybridMultilevel"/>
    <w:tmpl w:val="6E94C402"/>
    <w:lvl w:ilvl="0" w:tplc="C3E00314">
      <w:start w:val="1"/>
      <w:numFmt w:val="decimal"/>
      <w:lvlText w:val="%1"/>
      <w:lvlJc w:val="left"/>
      <w:pPr>
        <w:ind w:left="252" w:hanging="360"/>
      </w:pPr>
      <w:rPr>
        <w:rFonts w:hint="default"/>
        <w:sz w:val="16"/>
      </w:rPr>
    </w:lvl>
    <w:lvl w:ilvl="1" w:tplc="04070019" w:tentative="1">
      <w:start w:val="1"/>
      <w:numFmt w:val="lowerLetter"/>
      <w:lvlText w:val="%2."/>
      <w:lvlJc w:val="left"/>
      <w:pPr>
        <w:ind w:left="764" w:hanging="360"/>
      </w:pPr>
    </w:lvl>
    <w:lvl w:ilvl="2" w:tplc="0407001B" w:tentative="1">
      <w:start w:val="1"/>
      <w:numFmt w:val="lowerRoman"/>
      <w:lvlText w:val="%3."/>
      <w:lvlJc w:val="right"/>
      <w:pPr>
        <w:ind w:left="1484" w:hanging="180"/>
      </w:pPr>
    </w:lvl>
    <w:lvl w:ilvl="3" w:tplc="0407000F" w:tentative="1">
      <w:start w:val="1"/>
      <w:numFmt w:val="decimal"/>
      <w:lvlText w:val="%4."/>
      <w:lvlJc w:val="left"/>
      <w:pPr>
        <w:ind w:left="2204" w:hanging="360"/>
      </w:pPr>
    </w:lvl>
    <w:lvl w:ilvl="4" w:tplc="04070019" w:tentative="1">
      <w:start w:val="1"/>
      <w:numFmt w:val="lowerLetter"/>
      <w:lvlText w:val="%5."/>
      <w:lvlJc w:val="left"/>
      <w:pPr>
        <w:ind w:left="2924" w:hanging="360"/>
      </w:pPr>
    </w:lvl>
    <w:lvl w:ilvl="5" w:tplc="0407001B" w:tentative="1">
      <w:start w:val="1"/>
      <w:numFmt w:val="lowerRoman"/>
      <w:lvlText w:val="%6."/>
      <w:lvlJc w:val="right"/>
      <w:pPr>
        <w:ind w:left="3644" w:hanging="180"/>
      </w:pPr>
    </w:lvl>
    <w:lvl w:ilvl="6" w:tplc="0407000F" w:tentative="1">
      <w:start w:val="1"/>
      <w:numFmt w:val="decimal"/>
      <w:lvlText w:val="%7."/>
      <w:lvlJc w:val="left"/>
      <w:pPr>
        <w:ind w:left="4364" w:hanging="360"/>
      </w:pPr>
    </w:lvl>
    <w:lvl w:ilvl="7" w:tplc="04070019" w:tentative="1">
      <w:start w:val="1"/>
      <w:numFmt w:val="lowerLetter"/>
      <w:lvlText w:val="%8."/>
      <w:lvlJc w:val="left"/>
      <w:pPr>
        <w:ind w:left="5084" w:hanging="360"/>
      </w:pPr>
    </w:lvl>
    <w:lvl w:ilvl="8" w:tplc="0407001B" w:tentative="1">
      <w:start w:val="1"/>
      <w:numFmt w:val="lowerRoman"/>
      <w:lvlText w:val="%9."/>
      <w:lvlJc w:val="right"/>
      <w:pPr>
        <w:ind w:left="5804" w:hanging="180"/>
      </w:pPr>
    </w:lvl>
  </w:abstractNum>
  <w:abstractNum w:abstractNumId="4" w15:restartNumberingAfterBreak="0">
    <w:nsid w:val="3DD60C40"/>
    <w:multiLevelType w:val="multilevel"/>
    <w:tmpl w:val="122EE20A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9AB6F22"/>
    <w:multiLevelType w:val="multilevel"/>
    <w:tmpl w:val="0407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697003384">
    <w:abstractNumId w:val="4"/>
  </w:num>
  <w:num w:numId="2" w16cid:durableId="1058407174">
    <w:abstractNumId w:val="1"/>
  </w:num>
  <w:num w:numId="3" w16cid:durableId="592130462">
    <w:abstractNumId w:val="3"/>
  </w:num>
  <w:num w:numId="4" w16cid:durableId="1531214019">
    <w:abstractNumId w:val="2"/>
  </w:num>
  <w:num w:numId="5" w16cid:durableId="862742760">
    <w:abstractNumId w:val="5"/>
  </w:num>
  <w:num w:numId="6" w16cid:durableId="1977300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269"/>
    <w:rsid w:val="000D57FB"/>
    <w:rsid w:val="00152AB7"/>
    <w:rsid w:val="00255269"/>
    <w:rsid w:val="002C1D3D"/>
    <w:rsid w:val="002E7C6E"/>
    <w:rsid w:val="00766559"/>
    <w:rsid w:val="00AE1314"/>
    <w:rsid w:val="00B2594C"/>
    <w:rsid w:val="00BB5AEE"/>
    <w:rsid w:val="00D379F6"/>
    <w:rsid w:val="00D5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DFE1"/>
  <w15:chartTrackingRefBased/>
  <w15:docId w15:val="{BD0E0F78-26C5-4D80-8FB1-57552D85C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55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55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55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55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55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55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55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55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55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55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55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5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5526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5526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5526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5526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5526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552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55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55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5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55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55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5526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5526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5526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5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5526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55269"/>
    <w:rPr>
      <w:b/>
      <w:bCs/>
      <w:smallCaps/>
      <w:color w:val="0F4761" w:themeColor="accent1" w:themeShade="BF"/>
      <w:spacing w:val="5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C1D3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C1D3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C1D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Friedrich Holtiegel</dc:creator>
  <cp:keywords/>
  <dc:description/>
  <cp:lastModifiedBy>Friedrich Holtiegel</cp:lastModifiedBy>
  <cp:revision>4</cp:revision>
  <dcterms:created xsi:type="dcterms:W3CDTF">2026-06-03T18:22:00Z</dcterms:created>
  <dcterms:modified xsi:type="dcterms:W3CDTF">2026-06-03T18:49:00Z</dcterms:modified>
</cp:coreProperties>
</file>